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tabs>
          <w:tab w:val="clear" w:pos="708"/>
          <w:tab w:val="left" w:pos="2465" w:leader="none"/>
          <w:tab w:val="center" w:pos="4819" w:leader="none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/>
        <w:drawing>
          <wp:inline distT="0" distB="0" distL="0" distR="0">
            <wp:extent cx="6120130" cy="1112520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1"/>
        <w:tabs>
          <w:tab w:val="clear" w:pos="708"/>
          <w:tab w:val="left" w:pos="2465" w:leader="none"/>
          <w:tab w:val="center" w:pos="4819" w:leader="none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rFonts w:ascii="Arial" w:hAnsi="Arial"/>
          <w:sz w:val="36"/>
          <w:szCs w:val="30"/>
        </w:rPr>
        <w:t>Finanční úřad pro Jihočeský kraj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Mánesova 1803/3a, 371 87 České Budějovice</w:t>
      </w:r>
    </w:p>
    <w:p>
      <w:pPr>
        <w:pStyle w:val="Normal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adpis1"/>
        <w:spacing w:before="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Územní pracoviště v Jindřichově Hradci</w:t>
      </w:r>
    </w:p>
    <w:p>
      <w:pPr>
        <w:pStyle w:val="Nadpis1"/>
        <w:spacing w:before="0" w:after="0"/>
        <w:rPr>
          <w:rFonts w:ascii="Arial" w:hAnsi="Arial"/>
          <w:b w:val="false"/>
          <w:sz w:val="28"/>
          <w:szCs w:val="28"/>
        </w:rPr>
      </w:pPr>
      <w:r>
        <w:rPr>
          <w:rFonts w:ascii="Arial" w:hAnsi="Arial"/>
          <w:b w:val="false"/>
          <w:sz w:val="28"/>
          <w:szCs w:val="28"/>
        </w:rPr>
        <w:t>Česká 1284/II, 377 01 Jindřichův Hradec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Oddělení majetkových daní</w:t>
      </w:r>
    </w:p>
    <w:p>
      <w:pPr>
        <w:pStyle w:val="Normal"/>
        <w:spacing w:before="0"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>
        <w:rPr>
          <w:rFonts w:cs="Times New Roman"/>
          <w:b/>
          <w:color w:val="CC0066"/>
          <w:sz w:val="48"/>
          <w:szCs w:val="24"/>
          <w:u w:val="single"/>
        </w:rPr>
      </w:r>
    </w:p>
    <w:p>
      <w:pPr>
        <w:pStyle w:val="Normal"/>
        <w:spacing w:before="0"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>
        <w:rPr>
          <w:rFonts w:cs="Times New Roman"/>
          <w:b/>
          <w:color w:val="CC0066"/>
          <w:sz w:val="48"/>
          <w:szCs w:val="24"/>
          <w:u w:val="single"/>
        </w:rPr>
        <w:t>Informace</w:t>
      </w:r>
      <w:r>
        <w:rPr>
          <w:rFonts w:cs="Times New Roman"/>
          <w:color w:val="CC0066"/>
          <w:sz w:val="48"/>
          <w:szCs w:val="24"/>
          <w:u w:val="single"/>
        </w:rPr>
        <w:t xml:space="preserve"> </w:t>
      </w:r>
      <w:r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>
      <w:pPr>
        <w:pStyle w:val="Normal"/>
        <w:jc w:val="center"/>
        <w:rPr>
          <w:rFonts w:cs="Times New Roman"/>
          <w:color w:val="0000FF"/>
          <w:sz w:val="44"/>
          <w:szCs w:val="24"/>
        </w:rPr>
      </w:pPr>
      <w:r>
        <w:rPr>
          <w:rFonts w:cs="Times New Roman"/>
          <w:color w:val="0000FF"/>
          <w:sz w:val="44"/>
          <w:szCs w:val="24"/>
        </w:rPr>
        <w:t xml:space="preserve">na zdaňovací období </w:t>
      </w:r>
      <w:r>
        <w:rPr>
          <w:rFonts w:cs="Times New Roman"/>
          <w:b/>
          <w:color w:val="0000FF"/>
          <w:sz w:val="44"/>
          <w:szCs w:val="24"/>
        </w:rPr>
        <w:t>roku 2024</w:t>
      </w:r>
      <w:r>
        <w:rPr>
          <w:rFonts w:cs="Times New Roman"/>
          <w:color w:val="0000FF"/>
          <w:sz w:val="44"/>
          <w:szCs w:val="24"/>
        </w:rPr>
        <w:t xml:space="preserve"> pro obec:</w:t>
      </w:r>
    </w:p>
    <w:p>
      <w:pPr>
        <w:pStyle w:val="Normal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</w:r>
    </w:p>
    <w:p>
      <w:pPr>
        <w:pStyle w:val="Normal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PLUHŮV   ŽĎÁR</w:t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before="0" w:after="120"/>
        <w:jc w:val="both"/>
        <w:rPr>
          <w:rFonts w:cs="Times New Roman"/>
          <w:b/>
          <w:i/>
          <w:i/>
          <w:sz w:val="22"/>
          <w:szCs w:val="24"/>
          <w:u w:val="single"/>
        </w:rPr>
      </w:pPr>
      <w:r>
        <w:rPr>
          <w:rFonts w:cs="Times New Roman"/>
          <w:b/>
          <w:i/>
          <w:sz w:val="22"/>
          <w:szCs w:val="24"/>
          <w:u w:val="single"/>
        </w:rPr>
        <w:t>údaje k dani z pozemků</w:t>
      </w:r>
    </w:p>
    <w:p>
      <w:pPr>
        <w:pStyle w:val="Normal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katastrální území (k. ú.)</w:t>
        <w:tab/>
        <w:tab/>
        <w:t>kód k.ú.   prům. cena zem. půdy (Kč/m</w:t>
      </w:r>
      <w:r>
        <w:rPr>
          <w:rFonts w:cs="Times New Roman"/>
          <w:szCs w:val="24"/>
          <w:u w:val="single"/>
          <w:vertAlign w:val="superscript"/>
        </w:rPr>
        <w:t>2</w:t>
      </w:r>
      <w:r>
        <w:rPr>
          <w:rFonts w:cs="Times New Roman"/>
          <w:szCs w:val="24"/>
          <w:u w:val="single"/>
        </w:rPr>
        <w:t>)    zjednodušená evidence pozemků</w:t>
      </w:r>
    </w:p>
    <w:tbl>
      <w:tblPr>
        <w:tblW w:w="963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94"/>
        <w:gridCol w:w="875"/>
        <w:gridCol w:w="2951"/>
        <w:gridCol w:w="3118"/>
      </w:tblGrid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Jižná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661481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5,15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Klenov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666092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4,45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Mostečný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721948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3,69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Plasná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721492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4,00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Pluhův Žďár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721956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5,35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Pohoří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721921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4,69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  <w:tr>
        <w:trPr>
          <w:trHeight w:val="255" w:hRule="atLeast"/>
        </w:trPr>
        <w:tc>
          <w:tcPr>
            <w:tcW w:w="26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Samosoly</w:t>
            </w:r>
          </w:p>
        </w:tc>
        <w:tc>
          <w:tcPr>
            <w:tcW w:w="87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746029</w:t>
            </w:r>
          </w:p>
        </w:tc>
        <w:tc>
          <w:tcPr>
            <w:tcW w:w="29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4,74</w:t>
            </w:r>
          </w:p>
        </w:tc>
        <w:tc>
          <w:tcPr>
            <w:tcW w:w="31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Odsazentlatextu"/>
        <w:spacing w:before="240" w:after="0"/>
        <w:ind w:left="0" w:hanging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Na území obce Pluhův Žďár byla v katastrálním území </w:t>
      </w:r>
      <w:r>
        <w:rPr>
          <w:rFonts w:cs="Times New Roman"/>
          <w:b/>
          <w:sz w:val="22"/>
        </w:rPr>
        <w:t>Jižná</w:t>
      </w:r>
      <w:r>
        <w:rPr>
          <w:rFonts w:cs="Times New Roman"/>
          <w:sz w:val="22"/>
        </w:rPr>
        <w:t xml:space="preserve"> provedena v průběhu roku 2023 obnova katastrálního operátu, pozemková úprava případně revize katastru nemovitostí.</w:t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 xml:space="preserve">Vlastníkům těchto pozemků </w:t>
      </w:r>
      <w:r>
        <w:rPr>
          <w:rFonts w:ascii="Arial" w:hAnsi="Arial"/>
          <w:b/>
          <w:sz w:val="22"/>
          <w:szCs w:val="24"/>
        </w:rPr>
        <w:t>vzniká na zdaňovací období roku 2024 povinnost podat daňové přiznání za nově vzniklé parcely pozemků</w:t>
      </w:r>
      <w:r>
        <w:rPr>
          <w:rFonts w:ascii="Arial" w:hAnsi="Arial"/>
          <w:sz w:val="22"/>
          <w:szCs w:val="24"/>
        </w:rPr>
        <w:t xml:space="preserve"> bez ohledu na to, zda jsou i nadále pronajaty nebo propachtovány</w:t>
      </w:r>
      <w:r>
        <w:rPr>
          <w:rFonts w:ascii="Arial" w:hAnsi="Arial"/>
          <w:b/>
          <w:sz w:val="22"/>
          <w:szCs w:val="24"/>
        </w:rPr>
        <w:t xml:space="preserve"> </w:t>
      </w:r>
      <w:r>
        <w:rPr>
          <w:rFonts w:ascii="Arial" w:hAnsi="Arial"/>
          <w:b/>
          <w:sz w:val="22"/>
          <w:szCs w:val="24"/>
          <w:u w:val="single"/>
        </w:rPr>
        <w:t>nejpozději do 31. ledna 2024</w:t>
      </w:r>
      <w:r>
        <w:rPr>
          <w:rFonts w:ascii="Arial" w:hAnsi="Arial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Vlastníkům stávajících parcel katastru, u nichž došlo provedenou revizí katastru nemovitostí ke změně okolností rozhodných pro stanovení daně, vzniká povinnost daň přiznat ve shodném termínu.</w:t>
      </w:r>
    </w:p>
    <w:p>
      <w:pPr>
        <w:pStyle w:val="Tlotextu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</w:r>
    </w:p>
    <w:p>
      <w:pPr>
        <w:pStyle w:val="Normal"/>
        <w:jc w:val="both"/>
        <w:rPr>
          <w:rFonts w:cs="Times New Roman"/>
          <w:sz w:val="22"/>
          <w:szCs w:val="24"/>
          <w:u w:val="single"/>
        </w:rPr>
      </w:pPr>
      <w:r>
        <w:rPr>
          <w:rFonts w:cs="Times New Roman"/>
          <w:b/>
          <w:sz w:val="22"/>
          <w:szCs w:val="24"/>
          <w:u w:val="single"/>
        </w:rPr>
        <w:t>Koeficient</w:t>
      </w:r>
      <w:r>
        <w:rPr>
          <w:rFonts w:cs="Times New Roman"/>
          <w:sz w:val="22"/>
          <w:szCs w:val="24"/>
          <w:u w:val="single"/>
        </w:rPr>
        <w:t xml:space="preserve"> pro stavební pozemky</w:t>
      </w:r>
      <w:r>
        <w:rPr>
          <w:rFonts w:cs="Times New Roman"/>
          <w:b/>
          <w:sz w:val="22"/>
          <w:szCs w:val="24"/>
          <w:u w:val="single"/>
        </w:rPr>
        <w:t xml:space="preserve"> (F) </w:t>
      </w:r>
      <w:r>
        <w:rPr>
          <w:rFonts w:cs="Times New Roman"/>
          <w:sz w:val="22"/>
          <w:szCs w:val="24"/>
          <w:u w:val="single"/>
        </w:rPr>
        <w:t xml:space="preserve">je stanoven obcí </w:t>
      </w:r>
      <w:r>
        <w:rPr>
          <w:rFonts w:cs="Times New Roman"/>
          <w:b/>
          <w:sz w:val="22"/>
          <w:szCs w:val="24"/>
          <w:u w:val="single"/>
        </w:rPr>
        <w:t>v jednotlivých částech</w:t>
      </w:r>
      <w:r>
        <w:rPr>
          <w:rFonts w:cs="Times New Roman"/>
          <w:sz w:val="22"/>
          <w:szCs w:val="24"/>
          <w:u w:val="single"/>
        </w:rPr>
        <w:t xml:space="preserve"> obce takto:</w:t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ab/>
        <w:tab/>
        <w:tab/>
        <w:t>k.ú.  Jižná</w:t>
        <w:tab/>
        <w:tab/>
        <w:tab/>
        <w:tab/>
        <w:tab/>
      </w:r>
      <w:r>
        <w:rPr>
          <w:rFonts w:cs="Times New Roman"/>
          <w:b/>
          <w:sz w:val="22"/>
          <w:szCs w:val="24"/>
        </w:rPr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Klenov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Mostečný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Plasná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Pluhův Žďár</w:t>
      </w:r>
      <w:r>
        <w:rPr>
          <w:rFonts w:cs="Times New Roman"/>
          <w:b/>
          <w:sz w:val="22"/>
          <w:szCs w:val="24"/>
        </w:rPr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Pohoří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Samosoly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spacing w:before="0" w:after="120"/>
        <w:jc w:val="both"/>
        <w:rPr>
          <w:rFonts w:cs="Times New Roman"/>
          <w:b/>
          <w:i/>
          <w:i/>
          <w:sz w:val="22"/>
          <w:szCs w:val="24"/>
          <w:u w:val="single"/>
        </w:rPr>
      </w:pPr>
      <w:r>
        <w:rPr>
          <w:rFonts w:cs="Times New Roman"/>
          <w:b/>
          <w:i/>
          <w:sz w:val="22"/>
          <w:szCs w:val="24"/>
          <w:u w:val="single"/>
        </w:rPr>
        <w:t>údaje k dani ze staveb a jednotek</w:t>
      </w:r>
    </w:p>
    <w:p>
      <w:pPr>
        <w:pStyle w:val="Normal"/>
        <w:jc w:val="both"/>
        <w:rPr>
          <w:rFonts w:cs="Times New Roman"/>
          <w:sz w:val="22"/>
          <w:szCs w:val="24"/>
          <w:u w:val="single"/>
        </w:rPr>
      </w:pPr>
      <w:r>
        <w:rPr>
          <w:rFonts w:cs="Times New Roman"/>
          <w:b/>
          <w:sz w:val="22"/>
          <w:szCs w:val="24"/>
          <w:u w:val="single"/>
        </w:rPr>
        <w:t>Koeficient</w:t>
      </w:r>
      <w:r>
        <w:rPr>
          <w:rFonts w:cs="Times New Roman"/>
          <w:sz w:val="22"/>
          <w:szCs w:val="24"/>
          <w:u w:val="single"/>
        </w:rPr>
        <w:t xml:space="preserve"> je pro níže uvedený předmět daně stanoven obcí </w:t>
      </w:r>
      <w:r>
        <w:rPr>
          <w:rFonts w:cs="Times New Roman"/>
          <w:b/>
          <w:sz w:val="22"/>
          <w:szCs w:val="24"/>
          <w:u w:val="single"/>
        </w:rPr>
        <w:t>v jednotlivých částech obce</w:t>
      </w:r>
      <w:r>
        <w:rPr>
          <w:rFonts w:cs="Times New Roman"/>
          <w:sz w:val="22"/>
          <w:szCs w:val="24"/>
          <w:u w:val="single"/>
        </w:rPr>
        <w:t xml:space="preserve"> takto: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 xml:space="preserve">budova obytného domu </w:t>
      </w:r>
      <w:r>
        <w:rPr>
          <w:rFonts w:cs="Times New Roman"/>
          <w:b/>
          <w:sz w:val="22"/>
          <w:szCs w:val="24"/>
        </w:rPr>
        <w:t>(H)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 xml:space="preserve">ostatní budova tvořící příslušenství k budově obytného domu </w:t>
      </w:r>
      <w:r>
        <w:rPr>
          <w:rFonts w:cs="Times New Roman"/>
          <w:b/>
          <w:sz w:val="22"/>
          <w:szCs w:val="24"/>
        </w:rPr>
        <w:t>(I)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>zdanitelná jednotka, jejíž převažující část podlahové plochy je užívaná</w:t>
      </w:r>
      <w:r>
        <w:rPr>
          <w:sz w:val="22"/>
        </w:rPr>
        <w:t xml:space="preserve"> </w:t>
      </w:r>
      <w:r>
        <w:rPr>
          <w:rFonts w:cs="Times New Roman"/>
          <w:sz w:val="22"/>
          <w:szCs w:val="24"/>
        </w:rPr>
        <w:t xml:space="preserve">pro bydlení – byt </w:t>
      </w:r>
      <w:r>
        <w:rPr>
          <w:rFonts w:cs="Times New Roman"/>
          <w:b/>
          <w:sz w:val="22"/>
          <w:szCs w:val="24"/>
        </w:rPr>
        <w:t>(R)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>ostatní zdanitelná jednotka</w:t>
      </w:r>
      <w:r>
        <w:rPr>
          <w:rFonts w:cs="Times New Roman"/>
          <w:b/>
          <w:sz w:val="22"/>
          <w:szCs w:val="24"/>
        </w:rPr>
        <w:t xml:space="preserve"> (Z)</w:t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ab/>
        <w:tab/>
        <w:tab/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  <w:szCs w:val="24"/>
        </w:rPr>
        <w:tab/>
        <w:tab/>
        <w:t>k.ú.  Jižná</w:t>
        <w:tab/>
        <w:tab/>
        <w:tab/>
        <w:tab/>
        <w:tab/>
      </w:r>
      <w:r>
        <w:rPr>
          <w:rFonts w:cs="Times New Roman"/>
          <w:b/>
          <w:sz w:val="22"/>
          <w:szCs w:val="24"/>
        </w:rPr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Klenov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Mostečný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Plasná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Pluhův Žďár</w:t>
      </w:r>
      <w:r>
        <w:rPr>
          <w:rFonts w:cs="Times New Roman"/>
          <w:b/>
          <w:sz w:val="22"/>
          <w:szCs w:val="24"/>
        </w:rPr>
        <w:tab/>
        <w:tab/>
        <w:tab/>
        <w:tab/>
        <w:t>1,0</w:t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Pohoří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b/>
          <w:sz w:val="22"/>
          <w:szCs w:val="24"/>
        </w:rPr>
        <w:tab/>
        <w:tab/>
        <w:tab/>
      </w:r>
      <w:r>
        <w:rPr>
          <w:rFonts w:cs="Times New Roman"/>
          <w:sz w:val="22"/>
          <w:szCs w:val="24"/>
        </w:rPr>
        <w:t>k.ú. Samosoly</w:t>
      </w:r>
      <w:r>
        <w:rPr>
          <w:rFonts w:cs="Times New Roman"/>
          <w:b/>
          <w:sz w:val="22"/>
          <w:szCs w:val="24"/>
        </w:rPr>
        <w:tab/>
        <w:tab/>
        <w:tab/>
        <w:tab/>
        <w:tab/>
        <w:t>1,0</w:t>
      </w:r>
    </w:p>
    <w:p>
      <w:pPr>
        <w:pStyle w:val="Tlotextu"/>
        <w:spacing w:before="0" w:after="120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r>
    </w:p>
    <w:p>
      <w:pPr>
        <w:pStyle w:val="Tlotextu"/>
        <w:spacing w:before="0"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>
      <w:pPr>
        <w:pStyle w:val="Tlotextu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>
        <w:rPr>
          <w:rFonts w:ascii="Arial" w:hAnsi="Arial"/>
          <w:b/>
          <w:sz w:val="22"/>
          <w:szCs w:val="24"/>
        </w:rPr>
        <w:t>zdaňovací období roku 2024</w:t>
      </w:r>
      <w:r>
        <w:rPr>
          <w:rFonts w:ascii="Arial" w:hAnsi="Arial"/>
          <w:sz w:val="22"/>
          <w:szCs w:val="24"/>
        </w:rPr>
        <w:t xml:space="preserve"> nutno podat </w:t>
      </w:r>
      <w:r>
        <w:rPr>
          <w:rFonts w:ascii="Arial" w:hAnsi="Arial"/>
          <w:sz w:val="22"/>
        </w:rPr>
        <w:t>příslušnému</w:t>
      </w:r>
      <w:r>
        <w:rPr>
          <w:rFonts w:ascii="Arial" w:hAnsi="Arial"/>
          <w:b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územnímu pracovišti, kde je umístěn spis poplatníka, </w:t>
      </w:r>
      <w:r>
        <w:rPr>
          <w:rFonts w:ascii="Arial" w:hAnsi="Arial"/>
          <w:b/>
          <w:sz w:val="22"/>
          <w:szCs w:val="24"/>
          <w:u w:val="single"/>
        </w:rPr>
        <w:t>nejpozději do 31. ledna 2024</w:t>
      </w:r>
      <w:r>
        <w:rPr>
          <w:rFonts w:ascii="Arial" w:hAnsi="Arial"/>
          <w:sz w:val="22"/>
          <w:szCs w:val="24"/>
        </w:rPr>
        <w:t>. Noví poplatníci daně podají daňové přiznání na územní pracoviště dle pokynu GFŘ – D – 62, který je k dispozici na každém územním pracovišti, případně na internetové adrese finanční správy.</w:t>
      </w:r>
    </w:p>
    <w:p>
      <w:pPr>
        <w:pStyle w:val="Tlotextu"/>
        <w:ind w:firstLine="708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</w:r>
    </w:p>
    <w:p>
      <w:pPr>
        <w:pStyle w:val="Normal"/>
        <w:jc w:val="both"/>
        <w:rPr>
          <w:rStyle w:val="Internetovodkaz"/>
          <w:color w:val="2E74B5" w:themeColor="accent1" w:themeShade="bf"/>
          <w:sz w:val="22"/>
          <w:szCs w:val="22"/>
        </w:rPr>
      </w:pPr>
      <w:r>
        <w:rPr>
          <w:sz w:val="22"/>
          <w:szCs w:val="22"/>
        </w:rPr>
        <w:t>V souvislosti s „konsolidačním balíčkem“, který byl ve Sbírce zákonů zveřejněn jako zákon č. 349/2023</w:t>
      </w:r>
      <w:r>
        <w:rPr/>
        <w:t xml:space="preserve"> </w:t>
      </w:r>
      <w:r>
        <w:rPr>
          <w:sz w:val="22"/>
          <w:szCs w:val="22"/>
        </w:rPr>
        <w:t xml:space="preserve">Sb. a jehož obsahem je rovněž </w:t>
      </w:r>
      <w:r>
        <w:rPr>
          <w:b/>
          <w:bCs/>
          <w:sz w:val="22"/>
          <w:szCs w:val="22"/>
          <w:u w:val="single"/>
        </w:rPr>
        <w:t>Novela daně z nemovitých věcí,</w:t>
      </w:r>
      <w:r>
        <w:rPr>
          <w:sz w:val="22"/>
          <w:szCs w:val="22"/>
        </w:rPr>
        <w:t xml:space="preserve"> byl na stránkách FS vytvořen pro poplatníky daně z nemovitých věcí odkaz v sekci  - DANĚ-DANĚ-DAŇ Z NEMOVITÝCH VĚCÍ - Novela zákona o dani z nemovitých věcí (konsolidační balíček) dostupný na níže uvedeném odkaze, kde lze dohledat podrobnější informace:  </w:t>
      </w:r>
    </w:p>
    <w:p>
      <w:pPr>
        <w:pStyle w:val="Normal"/>
        <w:jc w:val="both"/>
        <w:rPr>
          <w:rStyle w:val="Internetovodkaz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jc w:val="both"/>
        <w:rPr>
          <w:rStyle w:val="Internetovodkaz"/>
          <w:color w:val="auto"/>
          <w:sz w:val="22"/>
          <w:szCs w:val="22"/>
        </w:rPr>
      </w:pPr>
      <w:hyperlink r:id="rId3">
        <w:r>
          <w:rPr>
            <w:rStyle w:val="Internetovodkaz"/>
            <w:sz w:val="22"/>
            <w:szCs w:val="22"/>
          </w:rPr>
          <w:t>https://www.financnisprava.cz/cs/dane/dane/dan-z-nemovitych-veci/novela-zakona-o-dnv-2024</w:t>
        </w:r>
      </w:hyperlink>
    </w:p>
    <w:p>
      <w:pPr>
        <w:pStyle w:val="Normal"/>
        <w:jc w:val="both"/>
        <w:rPr>
          <w:rStyle w:val="Internetovodkaz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 pro orientaci poplatníků daně k novele daně z nemovitých věcí uloženy soubory.</w:t>
      </w:r>
      <w:r>
        <w:rPr>
          <w:b/>
          <w:bCs/>
          <w:color w:val="000000"/>
          <w:sz w:val="22"/>
          <w:szCs w:val="22"/>
        </w:rPr>
        <w:t xml:space="preserve"> Jedná se o soubory: 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Kdo musí podávat daňové přiznání na zdaňovací období roku 2024 z důvodu novely zákona o dani z nemovitých věcí: 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>
      <w:pPr>
        <w:pStyle w:val="Normal"/>
        <w:jc w:val="both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Případně lze pro informace možno využít i další odkaz umístěný na stránkách FS: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Calibri"/>
          <w:sz w:val="22"/>
          <w:szCs w:val="22"/>
        </w:rPr>
      </w:pPr>
      <w:hyperlink r:id="rId4">
        <w:r>
          <w:rPr>
            <w:rStyle w:val="Interne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byla pro poplatníky daně spuštěna nová služby předvyplnění daňového přiznání k dani z nemovitých věcí, kterou mohou využít pouze uživatelé přihlášení do Daňové informační schránky (DIS+).  Více informací naleznete na tomto odkazu: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hyperlink r:id="rId5">
        <w:bookmarkStart w:id="0" w:name="_Hlk153366795"/>
        <w:r>
          <w:rPr>
            <w:rStyle w:val="Internetovodkaz"/>
            <w:sz w:val="22"/>
            <w:szCs w:val="22"/>
          </w:rPr>
          <w:t>https://www.financnisprava.cz/cs/dane/dane/dan-z-nemovitych-veci/informace-stanoviska-a-sdeleni/2023</w:t>
        </w:r>
      </w:hyperlink>
      <w:r>
        <w:rPr>
          <w:sz w:val="22"/>
          <w:szCs w:val="22"/>
        </w:rPr>
        <w:t xml:space="preserve"> a v tiskové zprávě (</w:t>
      </w:r>
      <w:hyperlink r:id="rId6">
        <w:r>
          <w:rPr>
            <w:rStyle w:val="Interne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rPr/>
        <w:t>)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Přiznání k dani z nemovitých věcí lze vyplnit elektronicky prostřednictvím Online finančního úřadu na adrese </w:t>
      </w:r>
      <w:hyperlink r:id="rId7">
        <w:r>
          <w:rPr>
            <w:rStyle w:val="Internetovodkaz"/>
            <w:rFonts w:cs="Times New Roman"/>
            <w:sz w:val="22"/>
            <w:szCs w:val="24"/>
          </w:rPr>
          <w:t>www.mojedane.cz</w:t>
        </w:r>
      </w:hyperlink>
      <w:r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>
        <w:rPr>
          <w:sz w:val="22"/>
          <w:szCs w:val="24"/>
        </w:rPr>
        <w:t xml:space="preserve">. </w:t>
      </w:r>
      <w:r>
        <w:rPr>
          <w:sz w:val="22"/>
          <w:szCs w:val="22"/>
        </w:rPr>
        <w:t xml:space="preserve">Online finanční úřad obsahuje veškeré číselníky nutné pro vyplnění daňového přiznání k dani z nemovitých věcí včetně nápovědy. Tiskopis daňového přiznání v elektronické podobě ve formátu PDF je k dispozici ke stažení na </w:t>
      </w:r>
      <w:r>
        <w:rPr>
          <w:rFonts w:cs="Times New Roman"/>
          <w:sz w:val="22"/>
          <w:szCs w:val="24"/>
        </w:rPr>
        <w:t xml:space="preserve">internetových stránkách Finanční správy </w:t>
      </w:r>
      <w:hyperlink r:id="rId8">
        <w:r>
          <w:rPr>
            <w:rStyle w:val="Interne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Internetovodkaz"/>
          <w:rFonts w:cs="Times New Roman"/>
          <w:b/>
          <w:sz w:val="22"/>
          <w:szCs w:val="24"/>
        </w:rPr>
        <w:t xml:space="preserve"> </w:t>
      </w:r>
      <w:r>
        <w:rPr>
          <w:rStyle w:val="Internetovodkaz"/>
          <w:rFonts w:cs="Times New Roman"/>
          <w:bCs/>
          <w:sz w:val="22"/>
          <w:szCs w:val="24"/>
          <w:u w:val="none"/>
        </w:rPr>
        <w:t>v nabídce Daňové tiskopisy</w:t>
      </w:r>
      <w:r>
        <w:rPr>
          <w:rFonts w:cs="Times New Roman"/>
          <w:sz w:val="22"/>
          <w:szCs w:val="24"/>
        </w:rPr>
        <w:t xml:space="preserve">. Na portálu Moje daně </w:t>
      </w:r>
      <w:r>
        <w:rPr>
          <w:rFonts w:cs="Times New Roman"/>
          <w:bCs/>
          <w:color w:val="000000"/>
          <w:sz w:val="22"/>
          <w:szCs w:val="24"/>
        </w:rPr>
        <w:t>lze pro zpracování daňového přiznání vyhledat příslušné koeficienty obcí v sekci Vyhledávání koeficientů DNE.</w:t>
      </w:r>
      <w:r>
        <w:rPr>
          <w:rFonts w:cs="Times New Roman"/>
          <w:color w:val="000000"/>
          <w:sz w:val="22"/>
          <w:szCs w:val="24"/>
        </w:rPr>
        <w:t xml:space="preserve"> 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</w:r>
    </w:p>
    <w:p>
      <w:pPr>
        <w:pStyle w:val="Normal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b/>
          <w:sz w:val="22"/>
          <w:szCs w:val="24"/>
        </w:rPr>
        <w:t>Pokud by nebylo daňové přiznání podáno včas, případně by nebylo podáno vůbec, vzniká při splnění zákonných podmínek poplatníkovi daně povinnost uhradit pokutu</w:t>
      </w:r>
    </w:p>
    <w:p>
      <w:pPr>
        <w:pStyle w:val="Tlotextu"/>
        <w:spacing w:before="0"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  <w:r>
        <w:rPr>
          <w:rFonts w:ascii="Arial" w:hAnsi="Arial"/>
          <w:b/>
          <w:caps/>
          <w:color w:val="CC0066"/>
          <w:sz w:val="28"/>
          <w:szCs w:val="24"/>
          <w:u w:val="single"/>
        </w:rPr>
      </w:r>
    </w:p>
    <w:p>
      <w:pPr>
        <w:pStyle w:val="Tlotextu"/>
        <w:spacing w:before="0"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  <w:r>
        <w:rPr>
          <w:rFonts w:ascii="Arial" w:hAnsi="Arial"/>
          <w:b/>
          <w:caps/>
          <w:color w:val="CC0066"/>
          <w:sz w:val="28"/>
          <w:szCs w:val="24"/>
          <w:u w:val="single"/>
        </w:rPr>
      </w:r>
    </w:p>
    <w:p>
      <w:pPr>
        <w:pStyle w:val="Tlotextu"/>
        <w:spacing w:before="0"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  <w:r>
        <w:rPr>
          <w:rFonts w:ascii="Arial" w:hAnsi="Arial"/>
          <w:b/>
          <w:caps/>
          <w:color w:val="CC0066"/>
          <w:sz w:val="28"/>
          <w:szCs w:val="24"/>
          <w:u w:val="single"/>
        </w:rPr>
      </w:r>
    </w:p>
    <w:p>
      <w:pPr>
        <w:pStyle w:val="Tlotextu"/>
        <w:spacing w:before="0"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  <w:r>
        <w:rPr>
          <w:rFonts w:ascii="Arial" w:hAnsi="Arial"/>
          <w:b/>
          <w:caps/>
          <w:color w:val="CC0066"/>
          <w:sz w:val="28"/>
          <w:szCs w:val="24"/>
          <w:u w:val="single"/>
        </w:rPr>
      </w:r>
    </w:p>
    <w:p>
      <w:pPr>
        <w:pStyle w:val="Tlotextu"/>
        <w:spacing w:before="0" w:after="120"/>
        <w:jc w:val="center"/>
        <w:rPr>
          <w:rFonts w:ascii="Arial" w:hAnsi="Arial"/>
          <w:caps/>
          <w:color w:val="CC0066"/>
          <w:sz w:val="28"/>
          <w:szCs w:val="24"/>
        </w:rPr>
      </w:pP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plaCENÍ daně z nemovitých věcí</w:t>
      </w:r>
    </w:p>
    <w:p>
      <w:pPr>
        <w:pStyle w:val="Normal"/>
        <w:spacing w:before="0" w:after="12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>
        <w:rPr>
          <w:rFonts w:cs="Times New Roman"/>
          <w:b/>
          <w:sz w:val="22"/>
          <w:szCs w:val="24"/>
          <w:u w:val="single"/>
        </w:rPr>
        <w:t>splatná</w:t>
      </w:r>
      <w:r>
        <w:rPr>
          <w:rFonts w:cs="Times New Roman"/>
          <w:sz w:val="22"/>
          <w:szCs w:val="24"/>
        </w:rPr>
        <w:t xml:space="preserve"> najednou </w:t>
      </w:r>
      <w:r>
        <w:rPr>
          <w:rFonts w:cs="Times New Roman"/>
          <w:sz w:val="22"/>
          <w:szCs w:val="24"/>
          <w:u w:val="single"/>
        </w:rPr>
        <w:t xml:space="preserve">do </w:t>
      </w:r>
      <w:r>
        <w:rPr>
          <w:rFonts w:cs="Times New Roman"/>
          <w:b/>
          <w:sz w:val="22"/>
          <w:szCs w:val="24"/>
          <w:u w:val="single"/>
        </w:rPr>
        <w:t>31. května 2024</w:t>
      </w:r>
      <w:r>
        <w:rPr>
          <w:rFonts w:cs="Times New Roman"/>
          <w:sz w:val="22"/>
          <w:szCs w:val="24"/>
        </w:rPr>
        <w:t>. Ke stejnému datu lze zaplatit daň najednou i při vyšší částce.</w:t>
      </w:r>
    </w:p>
    <w:p>
      <w:pPr>
        <w:pStyle w:val="Tlotextu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Činí-li celková daň více jak 5 000 Kč, je daň splatná ve dvou stejných splátkách; u poplatníků daně provozujících zemědělskou výrobu a chov ryb splatných nejpozději do </w:t>
      </w:r>
      <w:r>
        <w:rPr>
          <w:rFonts w:ascii="Arial" w:hAnsi="Arial"/>
          <w:b/>
          <w:sz w:val="22"/>
          <w:szCs w:val="24"/>
        </w:rPr>
        <w:t>31. srpna</w:t>
      </w:r>
      <w:r>
        <w:rPr>
          <w:rFonts w:ascii="Arial" w:hAnsi="Arial"/>
          <w:sz w:val="22"/>
          <w:szCs w:val="24"/>
        </w:rPr>
        <w:t xml:space="preserve"> a do </w:t>
      </w:r>
      <w:r>
        <w:rPr>
          <w:rFonts w:ascii="Arial" w:hAnsi="Arial"/>
          <w:b/>
          <w:sz w:val="22"/>
          <w:szCs w:val="24"/>
        </w:rPr>
        <w:t>30. listopadu 2024</w:t>
      </w:r>
      <w:r>
        <w:rPr>
          <w:rFonts w:ascii="Arial" w:hAnsi="Arial"/>
          <w:sz w:val="22"/>
          <w:szCs w:val="24"/>
        </w:rPr>
        <w:t xml:space="preserve">, u ostatních poplatníků daně splatných nejpozději </w:t>
      </w:r>
      <w:r>
        <w:rPr>
          <w:rFonts w:ascii="Arial" w:hAnsi="Arial"/>
          <w:b/>
          <w:sz w:val="22"/>
          <w:szCs w:val="24"/>
        </w:rPr>
        <w:t>do 31. května</w:t>
      </w:r>
      <w:r>
        <w:rPr>
          <w:rFonts w:ascii="Arial" w:hAnsi="Arial"/>
          <w:sz w:val="22"/>
          <w:szCs w:val="24"/>
        </w:rPr>
        <w:t xml:space="preserve"> a do </w:t>
      </w:r>
      <w:r>
        <w:rPr>
          <w:rFonts w:ascii="Arial" w:hAnsi="Arial"/>
          <w:b/>
          <w:sz w:val="22"/>
          <w:szCs w:val="24"/>
        </w:rPr>
        <w:t>30. listopadu 2024</w:t>
      </w:r>
      <w:r>
        <w:rPr>
          <w:rFonts w:ascii="Arial" w:hAnsi="Arial"/>
          <w:sz w:val="22"/>
          <w:szCs w:val="24"/>
        </w:rPr>
        <w:t>.</w:t>
      </w:r>
    </w:p>
    <w:p>
      <w:pPr>
        <w:pStyle w:val="Tlotextu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 xml:space="preserve">, vzniká poplatníkovi při splnění zákonných podmínek </w:t>
      </w:r>
      <w:r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>
      <w:pPr>
        <w:pStyle w:val="Tlotextu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</w:r>
    </w:p>
    <w:p>
      <w:pPr>
        <w:pStyle w:val="Tlotextu"/>
        <w:spacing w:before="0"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>
      <w:pPr>
        <w:pStyle w:val="Normal"/>
        <w:jc w:val="both"/>
        <w:rPr>
          <w:rFonts w:cs="Times New Roman"/>
          <w:b/>
          <w:sz w:val="28"/>
          <w:szCs w:val="22"/>
        </w:rPr>
      </w:pPr>
      <w:r>
        <w:rPr>
          <w:rFonts w:cs="Times New Roman"/>
          <w:sz w:val="24"/>
          <w:szCs w:val="22"/>
          <w:u w:val="single"/>
        </w:rPr>
        <w:t>bankovní účet Finančního úřadu pro Jihočeský kraj - číslo:</w:t>
      </w:r>
      <w:r>
        <w:rPr>
          <w:rFonts w:cs="Times New Roman"/>
          <w:sz w:val="24"/>
          <w:szCs w:val="22"/>
        </w:rPr>
        <w:tab/>
      </w:r>
      <w:r>
        <w:rPr>
          <w:rFonts w:cs="Times New Roman"/>
          <w:b/>
          <w:sz w:val="28"/>
          <w:szCs w:val="22"/>
        </w:rPr>
        <w:t>7755-77627231/0710</w:t>
      </w:r>
    </w:p>
    <w:p>
      <w:pPr>
        <w:pStyle w:val="Normal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ind w:firstLine="708"/>
        <w:rPr>
          <w:rFonts w:cs="Times New Roman"/>
          <w:sz w:val="28"/>
          <w:szCs w:val="22"/>
        </w:rPr>
      </w:pPr>
      <w:r>
        <w:rPr>
          <w:rFonts w:cs="Times New Roman"/>
          <w:sz w:val="24"/>
          <w:szCs w:val="22"/>
        </w:rPr>
        <w:t xml:space="preserve">IBAN: </w:t>
      </w:r>
      <w:r>
        <w:rPr>
          <w:rFonts w:cs="Times New Roman"/>
          <w:b/>
          <w:sz w:val="24"/>
          <w:szCs w:val="22"/>
        </w:rPr>
        <w:t>CZ25 0710 0077 5500 7762 7231</w:t>
      </w:r>
      <w:r>
        <w:rPr>
          <w:rFonts w:cs="Times New Roman"/>
          <w:sz w:val="24"/>
          <w:szCs w:val="22"/>
        </w:rPr>
        <w:tab/>
        <w:t xml:space="preserve">BIC kód: </w:t>
      </w:r>
      <w:r>
        <w:rPr>
          <w:rFonts w:cs="Times New Roman"/>
          <w:b/>
          <w:sz w:val="24"/>
          <w:szCs w:val="22"/>
        </w:rPr>
        <w:t>CNBACZPP</w:t>
      </w:r>
    </w:p>
    <w:p>
      <w:pPr>
        <w:pStyle w:val="PlainText"/>
        <w:rPr>
          <w:rFonts w:ascii="Arial" w:hAnsi="Arial" w:cs="Times New Roman"/>
          <w:sz w:val="16"/>
          <w:szCs w:val="16"/>
        </w:rPr>
      </w:pPr>
      <w:r>
        <w:rPr>
          <w:rFonts w:cs="Times New Roman" w:ascii="Arial" w:hAnsi="Arial"/>
          <w:sz w:val="16"/>
          <w:szCs w:val="16"/>
        </w:rPr>
      </w:r>
    </w:p>
    <w:p>
      <w:pPr>
        <w:pStyle w:val="PlainTex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konstantní symbol:</w:t>
        <w:tab/>
        <w:t>1148 – platba převodním příkazem</w:t>
      </w:r>
    </w:p>
    <w:p>
      <w:pPr>
        <w:pStyle w:val="PlainTex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variabilní symbol:</w:t>
        <w:tab/>
        <w:t>fyzická osoba – rodné číslo, právnická osoba – IČ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úhrada daně prostřednictvím SIPO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Služba umožňuje poplatníkům bezstarostné placení daně z nemovitých věcí prostřednictvím SIPO podle </w:t>
      </w:r>
      <w:hyperlink r:id="rId9">
        <w:r>
          <w:rPr>
            <w:rStyle w:val="Interne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>
        <w:rPr/>
        <w:t xml:space="preserve"> </w:t>
      </w:r>
      <w:r>
        <w:rPr>
          <w:rFonts w:cs="Times New Roman"/>
          <w:sz w:val="22"/>
          <w:szCs w:val="24"/>
        </w:rPr>
        <w:t>„</w:t>
      </w:r>
      <w:hyperlink r:id="rId10">
        <w:r>
          <w:rPr>
            <w:rStyle w:val="Internetovodkaz"/>
            <w:sz w:val="22"/>
            <w:szCs w:val="22"/>
          </w:rPr>
          <w:t>Oznámení o placení daně z nemovitých věcí prostřednictvím SIPO</w:t>
        </w:r>
      </w:hyperlink>
      <w:r>
        <w:rPr>
          <w:rFonts w:cs="Times New Roman"/>
          <w:sz w:val="22"/>
          <w:szCs w:val="24"/>
        </w:rPr>
        <w:t xml:space="preserve">“ a s dokladem o přidělení spojovacího čísla SIPO nebo aktuálním rozpisem bezhotovostní platby SIPO doručí územnímu pracovišti, na němž má veden spis k dani z nemovitých věcí. Spojovací číslo SIPO lze případně získat na kterékoliv poště. </w:t>
      </w:r>
      <w:r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31. ledna 2024</w:t>
      </w:r>
      <w:r>
        <w:rPr>
          <w:sz w:val="22"/>
          <w:szCs w:val="22"/>
        </w:rPr>
        <w:t>, bude daň hrazena prostřednictvím SIPO od roku 2024.</w:t>
      </w:r>
      <w:r>
        <w:rPr>
          <w:rFonts w:cs="Times New Roman"/>
          <w:sz w:val="22"/>
          <w:szCs w:val="22"/>
        </w:rPr>
        <w:t xml:space="preserve"> Daň bude automaticky hrazena i v následujících zdaňovacích obdobích i v případě změny výše stanovené daně z nemovitých věcí.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zaslání údajů pro placení daně na e-mail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Poplatníkům s touto zřízenou službou zašle správce daně před splatností první splátky daně každý rok informaci s údaji pro placení daně na jimi určenou e-mailovou adresu, tj. údaji o výši stanovené daně, nedoplatku nebo přeplatku, údaji pro placení daně včetně QR kódu, umožňujícího platbu prostřednictvím internetového bankovnictví i mobilních platebních aplikací. V případě, že poplatník opomene uhradit daň včas, zašle správce daně na e-mail následně vyrozumění o nedoplatku. 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2"/>
        </w:rPr>
        <w:t xml:space="preserve">V souladu s přijetím „konsolidačního balíčku“ a novely daně z nemovitých věcí </w:t>
      </w:r>
      <w:r>
        <w:rPr>
          <w:sz w:val="22"/>
          <w:szCs w:val="22"/>
        </w:rPr>
        <w:t xml:space="preserve">je </w:t>
      </w:r>
      <w:r>
        <w:rPr>
          <w:sz w:val="22"/>
          <w:szCs w:val="22"/>
          <w:u w:val="single"/>
        </w:rPr>
        <w:t>s </w:t>
      </w:r>
      <w:r>
        <w:rPr>
          <w:b/>
          <w:bCs/>
          <w:sz w:val="22"/>
          <w:szCs w:val="22"/>
          <w:u w:val="single"/>
        </w:rPr>
        <w:t xml:space="preserve">účinností od 1.1.2024 </w:t>
      </w:r>
      <w:r>
        <w:rPr>
          <w:sz w:val="22"/>
          <w:szCs w:val="22"/>
          <w:u w:val="single"/>
        </w:rPr>
        <w:t xml:space="preserve">nově možnost pro poplatníky </w:t>
      </w:r>
      <w:r>
        <w:rPr>
          <w:sz w:val="22"/>
          <w:szCs w:val="22"/>
        </w:rPr>
        <w:t xml:space="preserve">zaslat správci daně Žádost ve věci zasílání údajů pro placení daně z nemovitých věcí e-mailem, jako elektronickou kopii dokumentu opatřeného vlastnoručním podpisem, tj. </w:t>
      </w:r>
      <w:r>
        <w:rPr>
          <w:b/>
          <w:bCs/>
          <w:sz w:val="22"/>
          <w:szCs w:val="22"/>
        </w:rPr>
        <w:t>postačí,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aby poplatník správci daně zaslal e-mail (na e-mailovou adresu příslušného územního pracoviště) </w:t>
      </w:r>
      <w:r>
        <w:rPr>
          <w:b/>
          <w:bCs/>
          <w:sz w:val="22"/>
          <w:szCs w:val="22"/>
          <w:u w:val="single"/>
        </w:rPr>
        <w:t>obsahující scan vlastnoručně podepsané</w:t>
      </w:r>
      <w:r>
        <w:rPr>
          <w:sz w:val="22"/>
          <w:szCs w:val="22"/>
        </w:rPr>
        <w:t xml:space="preserve"> </w:t>
      </w:r>
      <w:bookmarkStart w:id="1" w:name="_Hlk153365031"/>
      <w:r>
        <w:rPr>
          <w:sz w:val="22"/>
          <w:szCs w:val="22"/>
        </w:rPr>
        <w:t>Žádosti ve věci zasílání údajů pro placení daně z nemovitých věcí e-mailem (§ 15 odst. 6 zákona o dani z nemovitých věcí).</w:t>
      </w:r>
      <w:bookmarkEnd w:id="1"/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na rok 2024 poplatník doručí vyplněnou „</w:t>
      </w:r>
      <w:r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>
        <w:rPr>
          <w:rFonts w:cs="Times New Roman"/>
          <w:sz w:val="22"/>
          <w:szCs w:val="24"/>
        </w:rPr>
        <w:t xml:space="preserve">“ </w:t>
      </w:r>
      <w:r>
        <w:rPr>
          <w:rFonts w:cs="Times New Roman"/>
          <w:b/>
          <w:sz w:val="22"/>
          <w:szCs w:val="24"/>
          <w:u w:val="single"/>
        </w:rPr>
        <w:t>do 15. března 2024</w:t>
      </w:r>
      <w:r>
        <w:rPr>
          <w:rFonts w:cs="Times New Roman"/>
          <w:sz w:val="22"/>
          <w:szCs w:val="24"/>
        </w:rPr>
        <w:t xml:space="preserve"> na územní pracoviště, na němž má uložen spis k dani z nemovitých věcí. Údaje pro placení daně z nemovitých věcí budou poplatníkovi automaticky zasílány e</w:t>
        <w:noBreakHyphen/>
        <w:t>mailem i v následujících zdaňovacích obdobích.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Služba je elektronickou náhradou za každoročně zasílané složenky pro placení daně, kterým správce daně zasílá podrobnou informaci pro placení daně na zvolenou e-mailovou adresu. Tato služba není určena poplatníkům, kteří platí daň prostřednictvím SIPO, jimž je zasílán rozpis plateb SIPO.</w:t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</w:r>
    </w:p>
    <w:p>
      <w:pPr>
        <w:pStyle w:val="Normal"/>
        <w:tabs>
          <w:tab w:val="clear" w:pos="708"/>
          <w:tab w:val="left" w:pos="6508" w:leader="none"/>
        </w:tabs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úhrada daně v hotovosti</w:t>
      </w:r>
    </w:p>
    <w:p>
      <w:pPr>
        <w:pStyle w:val="Normal"/>
        <w:tabs>
          <w:tab w:val="clear" w:pos="708"/>
          <w:tab w:val="left" w:pos="2127" w:leader="none"/>
          <w:tab w:val="left" w:pos="4820" w:leader="none"/>
          <w:tab w:val="left" w:pos="6663" w:leader="none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8"/>
        </w:rPr>
        <w:t>UPOZORNĚNÍ:</w:t>
      </w:r>
      <w:r>
        <w:rPr>
          <w:rFonts w:cs="Times New Roman"/>
          <w:sz w:val="22"/>
          <w:szCs w:val="28"/>
        </w:rPr>
        <w:t xml:space="preserve"> </w:t>
      </w:r>
      <w:r>
        <w:rPr>
          <w:rFonts w:cs="Times New Roman"/>
          <w:bCs/>
          <w:sz w:val="22"/>
          <w:szCs w:val="22"/>
        </w:rPr>
        <w:t>daň v hotovosti je možné hradit pouze na Územním pracovišti</w:t>
      </w:r>
      <w:r>
        <w:rPr>
          <w:rFonts w:cs="Times New Roman"/>
          <w:sz w:val="22"/>
          <w:szCs w:val="22"/>
        </w:rPr>
        <w:t xml:space="preserve"> v Českých Budějovicích v pondělí a ve středu v pokladních hodinách vždy od 8:00 do 12:00 hod. a od 12:30 do 15:30 hod.</w:t>
      </w:r>
      <w:r>
        <w:rPr>
          <w:rFonts w:cs="Times New Roman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b/>
        <w:szCs w:val="24"/>
        <w:b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3698"/>
    <w:pPr>
      <w:widowControl/>
      <w:bidi w:val="0"/>
      <w:spacing w:lineRule="auto" w:line="240" w:before="0" w:after="0"/>
      <w:jc w:val="left"/>
    </w:pPr>
    <w:rPr>
      <w:rFonts w:eastAsia="Times New Roman" w:cs="Arial" w:ascii="Arial" w:hAnsi="Arial"/>
      <w:color w:val="auto"/>
      <w:kern w:val="0"/>
      <w:sz w:val="20"/>
      <w:szCs w:val="20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033698"/>
    <w:pPr>
      <w:keepNext w:val="true"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033698"/>
    <w:rPr/>
  </w:style>
  <w:style w:type="character" w:styleId="ZpatChar" w:customStyle="1">
    <w:name w:val="Zápatí Char"/>
    <w:basedOn w:val="DefaultParagraphFont"/>
    <w:uiPriority w:val="99"/>
    <w:qFormat/>
    <w:rsid w:val="00033698"/>
    <w:rPr/>
  </w:style>
  <w:style w:type="character" w:styleId="Nadpis1Char" w:customStyle="1">
    <w:name w:val="Nadpis 1 Char"/>
    <w:basedOn w:val="DefaultParagraphFont"/>
    <w:qFormat/>
    <w:rsid w:val="00033698"/>
    <w:rPr>
      <w:rFonts w:ascii="Cambria" w:hAnsi="Cambria" w:eastAsia="Times New Roman" w:cs="Times New Roman"/>
      <w:b/>
      <w:bCs/>
      <w:kern w:val="2"/>
      <w:sz w:val="32"/>
      <w:szCs w:val="32"/>
      <w:lang w:eastAsia="cs-CZ"/>
    </w:rPr>
  </w:style>
  <w:style w:type="character" w:styleId="ZkladntextChar" w:customStyle="1">
    <w:name w:val="Základní text Char"/>
    <w:basedOn w:val="DefaultParagraphFont"/>
    <w:qFormat/>
    <w:rsid w:val="0003369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ProsttextChar" w:customStyle="1">
    <w:name w:val="Prostý text Char"/>
    <w:basedOn w:val="DefaultParagraphFont"/>
    <w:link w:val="PlainText"/>
    <w:qFormat/>
    <w:rsid w:val="00033698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qFormat/>
    <w:rsid w:val="00033698"/>
    <w:rPr>
      <w:rFonts w:eastAsia="Times New Roman" w:cs="Arial"/>
      <w:sz w:val="20"/>
      <w:szCs w:val="20"/>
      <w:lang w:eastAsia="cs-CZ"/>
    </w:rPr>
  </w:style>
  <w:style w:type="character" w:styleId="Internetovodkaz">
    <w:name w:val="Hyperlink"/>
    <w:rsid w:val="00033698"/>
    <w:rPr>
      <w:color w:val="0000FF"/>
      <w:u w:val="single"/>
    </w:rPr>
  </w:style>
  <w:style w:type="character" w:styleId="Navtveninternetovodkaz">
    <w:name w:val="FollowedHyperlink"/>
    <w:basedOn w:val="DefaultParagraphFont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627f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336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336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ProsttextChar"/>
    <w:qFormat/>
    <w:rsid w:val="00033698"/>
    <w:pPr/>
    <w:rPr>
      <w:rFonts w:ascii="Courier New" w:hAnsi="Courier New" w:cs="Courier New"/>
    </w:rPr>
  </w:style>
  <w:style w:type="paragraph" w:styleId="Odsazentlatextu">
    <w:name w:val="Body Text Indent"/>
    <w:basedOn w:val="Normal"/>
    <w:link w:val="ZkladntextodsazenChar"/>
    <w:rsid w:val="00033698"/>
    <w:pPr>
      <w:spacing w:before="0" w:after="120"/>
      <w:ind w:left="283" w:hanging="0"/>
    </w:pPr>
    <w:rPr/>
  </w:style>
  <w:style w:type="paragraph" w:styleId="Textparagrafu" w:customStyle="1">
    <w:name w:val="Text paragrafu"/>
    <w:basedOn w:val="Normal"/>
    <w:qFormat/>
    <w:rsid w:val="00091eb5"/>
    <w:pPr>
      <w:spacing w:before="240" w:after="0"/>
      <w:ind w:firstLine="425"/>
      <w:jc w:val="both"/>
    </w:pPr>
    <w:rPr>
      <w:rFonts w:ascii="Times New Roman" w:hAnsi="Times New Roman" w:eastAsia="Calibri" w:cs="Times New Roman"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70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inancnisprava.cz/cs/dane/dane/dan-z-nemovitych-veci/novela-zakona-o-dnv-2024" TargetMode="External"/><Relationship Id="rId4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5" Type="http://schemas.openxmlformats.org/officeDocument/2006/relationships/hyperlink" Target="https://www.financnisprava.cz/cs/dane/dane/dan-z-nemovitych-veci/informace-stanoviska-a-sdeleni/2023" TargetMode="External"/><Relationship Id="rId6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7" Type="http://schemas.openxmlformats.org/officeDocument/2006/relationships/hyperlink" Target="http://www.mojedane.cz/" TargetMode="External"/><Relationship Id="rId8" Type="http://schemas.openxmlformats.org/officeDocument/2006/relationships/hyperlink" Target="http://www.financnisprava.cz/" TargetMode="External"/><Relationship Id="rId9" Type="http://schemas.openxmlformats.org/officeDocument/2006/relationships/hyperlink" Target="http://www.financnisprava.cz/assets/cs/prilohy/d-seznam-dani/podminky-pro-platbu-dane-z-nemovitych-veci-prostrednictvim-SIPO.pdf" TargetMode="External"/><Relationship Id="rId10" Type="http://schemas.openxmlformats.org/officeDocument/2006/relationships/hyperlink" Target="http://www.financnisprava.cz/assets/tiskopisy/IF_5557_1.pdf?201509040943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6</Pages>
  <Words>1248</Words>
  <Characters>7386</Characters>
  <CharactersWithSpaces>8664</CharactersWithSpaces>
  <Paragraphs>97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2023-12-15T06:21:00Z</dcterms:created>
  <dc:creator>Bursa Miroslav Ing. (FÚ pro Jihočeský kraj)</dc:creator>
  <dc:description/>
  <dc:language>cs-CZ</dc:language>
  <cp:lastModifiedBy>Mach Josef (ÚzP v Jindřichově Hradci)</cp:lastModifiedBy>
  <dcterms:modified xsi:type="dcterms:W3CDTF">2023-12-15T12:58:00Z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